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DAF1" w14:textId="77777777" w:rsidR="00607B80" w:rsidRDefault="00C12EC6" w:rsidP="00C12EC6">
      <w:pPr>
        <w:pStyle w:val="BodyText"/>
        <w:spacing w:before="73" w:line="276" w:lineRule="auto"/>
        <w:ind w:left="1931" w:right="1924"/>
        <w:jc w:val="center"/>
      </w:pPr>
      <w:r>
        <w:t>İZMİR</w:t>
      </w:r>
      <w:r>
        <w:rPr>
          <w:spacing w:val="-11"/>
        </w:rPr>
        <w:t xml:space="preserve"> </w:t>
      </w:r>
      <w:r>
        <w:t>YÜKSEK</w:t>
      </w:r>
      <w:r>
        <w:rPr>
          <w:spacing w:val="-12"/>
        </w:rPr>
        <w:t xml:space="preserve"> </w:t>
      </w:r>
      <w:r>
        <w:t>TEKNOLOJİ</w:t>
      </w:r>
      <w:r>
        <w:rPr>
          <w:spacing w:val="-15"/>
        </w:rPr>
        <w:t xml:space="preserve"> </w:t>
      </w:r>
      <w:r>
        <w:t xml:space="preserve">ENSTİTÜSÜ </w:t>
      </w:r>
    </w:p>
    <w:p w14:paraId="4BD3DAF2" w14:textId="74B3448B" w:rsidR="002D6268" w:rsidRDefault="00607B80" w:rsidP="00C12EC6">
      <w:pPr>
        <w:pStyle w:val="BodyText"/>
        <w:spacing w:before="73" w:line="276" w:lineRule="auto"/>
        <w:ind w:left="1931" w:right="1924"/>
        <w:jc w:val="center"/>
      </w:pPr>
      <w:r>
        <w:t xml:space="preserve"> </w:t>
      </w:r>
      <w:r>
        <w:rPr>
          <w:noProof/>
        </w:rPr>
        <w:t>ENERJİ</w:t>
      </w:r>
      <w:r>
        <w:t xml:space="preserve"> </w:t>
      </w:r>
      <w:r w:rsidR="00C12EC6">
        <w:t xml:space="preserve">MÜHENDİSLİĞİ </w:t>
      </w:r>
      <w:r w:rsidR="00611988">
        <w:t>DOKTORA PROGRAMI</w:t>
      </w:r>
    </w:p>
    <w:p w14:paraId="4BD3DAF3" w14:textId="77777777" w:rsidR="002D6268" w:rsidRDefault="00C12EC6" w:rsidP="00C12EC6">
      <w:pPr>
        <w:spacing w:before="5" w:line="276" w:lineRule="auto"/>
        <w:ind w:left="1931" w:right="1925"/>
        <w:jc w:val="center"/>
        <w:rPr>
          <w:b/>
          <w:sz w:val="24"/>
        </w:rPr>
      </w:pPr>
      <w:r>
        <w:rPr>
          <w:b/>
          <w:sz w:val="24"/>
        </w:rPr>
        <w:t>DOKTORA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YETERLİK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SINAVI</w:t>
      </w:r>
    </w:p>
    <w:p w14:paraId="4BD3DAF4" w14:textId="77777777" w:rsidR="002D6268" w:rsidRDefault="00C12EC6" w:rsidP="00C12EC6">
      <w:pPr>
        <w:spacing w:before="1" w:line="276" w:lineRule="auto"/>
        <w:ind w:left="1931" w:right="1925"/>
        <w:jc w:val="center"/>
        <w:rPr>
          <w:b/>
          <w:sz w:val="24"/>
        </w:rPr>
      </w:pPr>
      <w:r>
        <w:rPr>
          <w:b/>
          <w:sz w:val="24"/>
        </w:rPr>
        <w:t>Uygulama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Esasları</w:t>
      </w:r>
    </w:p>
    <w:p w14:paraId="4BD3DAF5" w14:textId="77777777" w:rsidR="002D6268" w:rsidRDefault="002D6268">
      <w:pPr>
        <w:pStyle w:val="BodyText"/>
        <w:spacing w:before="275"/>
        <w:ind w:left="0"/>
        <w:rPr>
          <w:b/>
        </w:rPr>
      </w:pPr>
    </w:p>
    <w:p w14:paraId="4BD3DAF6" w14:textId="77777777" w:rsidR="002D6268" w:rsidRDefault="00C12EC6">
      <w:pPr>
        <w:pStyle w:val="ListParagraph"/>
        <w:numPr>
          <w:ilvl w:val="0"/>
          <w:numId w:val="1"/>
        </w:numPr>
        <w:tabs>
          <w:tab w:val="left" w:pos="479"/>
        </w:tabs>
        <w:spacing w:before="1" w:line="274" w:lineRule="exact"/>
        <w:ind w:left="479" w:hanging="359"/>
        <w:jc w:val="both"/>
        <w:rPr>
          <w:b/>
          <w:sz w:val="24"/>
        </w:rPr>
      </w:pPr>
      <w:r>
        <w:rPr>
          <w:b/>
          <w:spacing w:val="-2"/>
          <w:sz w:val="24"/>
        </w:rPr>
        <w:t>Giriş</w:t>
      </w:r>
    </w:p>
    <w:p w14:paraId="4BD3DAF7" w14:textId="609357F9" w:rsidR="002D6268" w:rsidRDefault="00C12EC6">
      <w:pPr>
        <w:pStyle w:val="BodyText"/>
        <w:ind w:right="110"/>
        <w:jc w:val="both"/>
      </w:pPr>
      <w:r>
        <w:t xml:space="preserve">Bu </w:t>
      </w:r>
      <w:r w:rsidR="000163A5">
        <w:t>belge</w:t>
      </w:r>
      <w:r>
        <w:t xml:space="preserve">, </w:t>
      </w:r>
      <w:r w:rsidR="00607B80">
        <w:t xml:space="preserve">Enerji Mühendisliği </w:t>
      </w:r>
      <w:r w:rsidR="00611988">
        <w:t>Doktora Programı</w:t>
      </w:r>
      <w:r>
        <w:t xml:space="preserve"> Doktora Yeterlik Sınavlarının politikasını, içeriğini ve uygulama esaslarını belirlemek üzere oluşturulmuştur. Belge, İzmir Yüksek T</w:t>
      </w:r>
      <w:r w:rsidR="006135F2">
        <w:t>eknoloji Enstitüsü (İYTE) Lisansü</w:t>
      </w:r>
      <w:r>
        <w:t>stü Eğitim-Öğretim Yönetmeliği’ni temel alarak hazırlanmış olup, yönetmelikte yer almayan hususları düzenlemektedir.</w:t>
      </w:r>
    </w:p>
    <w:p w14:paraId="4BD3DAF8" w14:textId="77777777" w:rsidR="002D6268" w:rsidRDefault="002D6268">
      <w:pPr>
        <w:pStyle w:val="BodyText"/>
        <w:spacing w:before="2"/>
        <w:ind w:left="0"/>
      </w:pPr>
    </w:p>
    <w:p w14:paraId="4BD3DAF9" w14:textId="77777777" w:rsidR="002D6268" w:rsidRDefault="00C12EC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b/>
          <w:sz w:val="24"/>
        </w:rPr>
      </w:pPr>
      <w:r>
        <w:rPr>
          <w:b/>
          <w:spacing w:val="-2"/>
          <w:sz w:val="24"/>
        </w:rPr>
        <w:t>Tanım</w:t>
      </w:r>
    </w:p>
    <w:p w14:paraId="4BD3DAFA" w14:textId="2C01D0B2" w:rsidR="002D6268" w:rsidRDefault="00C12EC6" w:rsidP="00C12EC6">
      <w:pPr>
        <w:pStyle w:val="BodyText"/>
        <w:spacing w:before="272"/>
        <w:ind w:right="109" w:firstLine="359"/>
        <w:jc w:val="both"/>
      </w:pPr>
      <w:r>
        <w:t xml:space="preserve">Doktora </w:t>
      </w:r>
      <w:r w:rsidR="00074457">
        <w:t>Y</w:t>
      </w:r>
      <w:r>
        <w:t xml:space="preserve">eterlik </w:t>
      </w:r>
      <w:r w:rsidR="00074457">
        <w:t>S</w:t>
      </w:r>
      <w:r>
        <w:t xml:space="preserve">ınavı (DYS), öğrencinin </w:t>
      </w:r>
      <w:r w:rsidR="00607B80">
        <w:t>Enerji Mühendisliği</w:t>
      </w:r>
      <w:r>
        <w:t xml:space="preserve"> alanındaki bilgi</w:t>
      </w:r>
      <w:r>
        <w:rPr>
          <w:spacing w:val="40"/>
        </w:rPr>
        <w:t xml:space="preserve"> </w:t>
      </w:r>
      <w:r>
        <w:t xml:space="preserve">birikimi, yeteneğini ve araştırmaya olan eğilimini belirleyecek yazılı ve sözlü sınavlardan </w:t>
      </w:r>
      <w:r>
        <w:rPr>
          <w:spacing w:val="-2"/>
        </w:rPr>
        <w:t>oluşur.</w:t>
      </w:r>
      <w:r>
        <w:t xml:space="preserve"> Yeterlik sınavları, 5 kişilik Doktora Yeterlik Komitesi (DYK) tarafından düzenlenir ve </w:t>
      </w:r>
      <w:r>
        <w:rPr>
          <w:spacing w:val="-2"/>
        </w:rPr>
        <w:t>yürütülür.</w:t>
      </w:r>
    </w:p>
    <w:p w14:paraId="4BD3DAFB" w14:textId="77777777" w:rsidR="002D6268" w:rsidRDefault="002D6268">
      <w:pPr>
        <w:pStyle w:val="BodyText"/>
        <w:ind w:left="0"/>
      </w:pPr>
    </w:p>
    <w:p w14:paraId="4BD3DAFC" w14:textId="77777777" w:rsidR="002D6268" w:rsidRDefault="00C12EC6">
      <w:pPr>
        <w:pStyle w:val="BodyText"/>
        <w:ind w:left="480"/>
      </w:pPr>
      <w:r>
        <w:t>DYS’nın</w:t>
      </w:r>
      <w:r>
        <w:rPr>
          <w:spacing w:val="-3"/>
        </w:rPr>
        <w:t xml:space="preserve"> </w:t>
      </w:r>
      <w:r>
        <w:t>tümü</w:t>
      </w:r>
      <w:r>
        <w:rPr>
          <w:spacing w:val="-1"/>
        </w:rPr>
        <w:t xml:space="preserve"> </w:t>
      </w:r>
      <w:r>
        <w:t>İngilizce</w:t>
      </w:r>
      <w:r>
        <w:rPr>
          <w:spacing w:val="-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rPr>
          <w:spacing w:val="-2"/>
        </w:rPr>
        <w:t>yapılır.</w:t>
      </w:r>
    </w:p>
    <w:p w14:paraId="4BD3DAFD" w14:textId="77777777" w:rsidR="002D6268" w:rsidRDefault="002D6268">
      <w:pPr>
        <w:pStyle w:val="BodyText"/>
        <w:ind w:left="0"/>
      </w:pPr>
    </w:p>
    <w:p w14:paraId="4BD3DAFE" w14:textId="77777777" w:rsidR="002D6268" w:rsidRDefault="00C12EC6">
      <w:pPr>
        <w:pStyle w:val="BodyText"/>
        <w:ind w:right="110" w:firstLine="359"/>
        <w:jc w:val="both"/>
      </w:pPr>
      <w:r>
        <w:t>Her doktora öğrencisi bu sınavı başarmak zorundadır. Öğrenci bu sınava en çok iki defa girebilir. İkinci hakkında başarılı olamayan öğrencilerin doktora programıyla ilişikleri</w:t>
      </w:r>
      <w:r>
        <w:rPr>
          <w:spacing w:val="80"/>
        </w:rPr>
        <w:t xml:space="preserve"> </w:t>
      </w:r>
      <w:r>
        <w:t xml:space="preserve">kesilir. DYS’nın öğrencinin </w:t>
      </w:r>
      <w:r w:rsidR="00607B80">
        <w:t>Enerji Mühendisliği</w:t>
      </w:r>
      <w:r>
        <w:t xml:space="preserve"> anabilim dalındaki bilgisini, yeteneğini ve akademik kapasitesini belirlemek üzere üç temel amacı vardır:</w:t>
      </w:r>
    </w:p>
    <w:p w14:paraId="4BD3DAFF" w14:textId="77777777" w:rsidR="002D6268" w:rsidRDefault="00C12EC6">
      <w:pPr>
        <w:pStyle w:val="ListParagraph"/>
        <w:numPr>
          <w:ilvl w:val="1"/>
          <w:numId w:val="1"/>
        </w:numPr>
        <w:tabs>
          <w:tab w:val="left" w:pos="1560"/>
          <w:tab w:val="left" w:pos="2843"/>
          <w:tab w:val="left" w:pos="3784"/>
          <w:tab w:val="left" w:pos="4978"/>
          <w:tab w:val="left" w:pos="5626"/>
          <w:tab w:val="left" w:pos="6856"/>
          <w:tab w:val="left" w:pos="7343"/>
          <w:tab w:val="left" w:pos="8281"/>
        </w:tabs>
        <w:spacing w:before="1"/>
        <w:ind w:right="108"/>
        <w:rPr>
          <w:sz w:val="24"/>
        </w:rPr>
      </w:pPr>
      <w:r>
        <w:rPr>
          <w:spacing w:val="-2"/>
          <w:sz w:val="24"/>
        </w:rPr>
        <w:t>Öğrencinin</w:t>
      </w:r>
      <w:r>
        <w:rPr>
          <w:sz w:val="24"/>
        </w:rPr>
        <w:tab/>
      </w:r>
      <w:r>
        <w:rPr>
          <w:spacing w:val="-2"/>
          <w:sz w:val="24"/>
        </w:rPr>
        <w:t>doktora</w:t>
      </w:r>
      <w:r>
        <w:rPr>
          <w:sz w:val="24"/>
        </w:rPr>
        <w:tab/>
      </w:r>
      <w:r>
        <w:rPr>
          <w:spacing w:val="-2"/>
          <w:sz w:val="24"/>
        </w:rPr>
        <w:t>düzeyinde</w:t>
      </w:r>
      <w:r>
        <w:rPr>
          <w:sz w:val="24"/>
        </w:rPr>
        <w:tab/>
      </w:r>
      <w:r>
        <w:rPr>
          <w:spacing w:val="-4"/>
          <w:sz w:val="24"/>
        </w:rPr>
        <w:t>bilgi</w:t>
      </w:r>
      <w:r>
        <w:rPr>
          <w:sz w:val="24"/>
        </w:rPr>
        <w:tab/>
      </w:r>
      <w:r>
        <w:rPr>
          <w:spacing w:val="-2"/>
          <w:sz w:val="24"/>
        </w:rPr>
        <w:t>birikimini,</w:t>
      </w:r>
      <w:r>
        <w:rPr>
          <w:sz w:val="24"/>
        </w:rPr>
        <w:tab/>
      </w:r>
      <w:r>
        <w:rPr>
          <w:spacing w:val="-4"/>
          <w:sz w:val="24"/>
        </w:rPr>
        <w:t>tez</w:t>
      </w:r>
      <w:r>
        <w:rPr>
          <w:sz w:val="24"/>
        </w:rPr>
        <w:tab/>
      </w:r>
      <w:r>
        <w:rPr>
          <w:spacing w:val="-2"/>
          <w:sz w:val="24"/>
        </w:rPr>
        <w:t>çalışma</w:t>
      </w:r>
      <w:r>
        <w:rPr>
          <w:sz w:val="24"/>
        </w:rPr>
        <w:tab/>
      </w:r>
      <w:r>
        <w:rPr>
          <w:spacing w:val="-2"/>
          <w:sz w:val="24"/>
        </w:rPr>
        <w:t xml:space="preserve">alanında </w:t>
      </w:r>
      <w:r>
        <w:rPr>
          <w:sz w:val="24"/>
        </w:rPr>
        <w:t>derinliğine akademik kapasitesini,</w:t>
      </w:r>
    </w:p>
    <w:p w14:paraId="4BD3DB00" w14:textId="6A0B9118" w:rsidR="002D6268" w:rsidRDefault="00C12EC6">
      <w:pPr>
        <w:pStyle w:val="ListParagraph"/>
        <w:numPr>
          <w:ilvl w:val="1"/>
          <w:numId w:val="1"/>
        </w:numPr>
        <w:tabs>
          <w:tab w:val="left" w:pos="1560"/>
        </w:tabs>
        <w:ind w:right="114"/>
        <w:rPr>
          <w:sz w:val="24"/>
        </w:rPr>
      </w:pPr>
      <w:r>
        <w:rPr>
          <w:sz w:val="24"/>
        </w:rPr>
        <w:t xml:space="preserve">Öğrencinin </w:t>
      </w:r>
      <w:r w:rsidR="00607B80">
        <w:rPr>
          <w:sz w:val="24"/>
        </w:rPr>
        <w:t>Enerji Mühendisliği</w:t>
      </w:r>
      <w:r w:rsidR="00074457">
        <w:rPr>
          <w:sz w:val="24"/>
        </w:rPr>
        <w:t>’</w:t>
      </w:r>
      <w:r>
        <w:rPr>
          <w:sz w:val="24"/>
        </w:rPr>
        <w:t>nin farklı disiplinlerindeki temel kavramları anlama düzeyini belirlemek,</w:t>
      </w:r>
    </w:p>
    <w:p w14:paraId="4BD3DB01" w14:textId="77777777" w:rsidR="002D6268" w:rsidRDefault="00C12EC6">
      <w:pPr>
        <w:pStyle w:val="ListParagraph"/>
        <w:numPr>
          <w:ilvl w:val="1"/>
          <w:numId w:val="1"/>
        </w:numPr>
        <w:tabs>
          <w:tab w:val="left" w:pos="1560"/>
        </w:tabs>
        <w:ind w:right="116"/>
        <w:rPr>
          <w:sz w:val="24"/>
        </w:rPr>
      </w:pPr>
      <w:r>
        <w:rPr>
          <w:sz w:val="24"/>
        </w:rPr>
        <w:t>Öğrencinin</w:t>
      </w:r>
      <w:r>
        <w:rPr>
          <w:spacing w:val="80"/>
          <w:sz w:val="24"/>
        </w:rPr>
        <w:t xml:space="preserve"> </w:t>
      </w:r>
      <w:r>
        <w:rPr>
          <w:sz w:val="24"/>
        </w:rPr>
        <w:t>başarılı</w:t>
      </w:r>
      <w:r>
        <w:rPr>
          <w:spacing w:val="80"/>
          <w:sz w:val="24"/>
        </w:rPr>
        <w:t xml:space="preserve"> </w:t>
      </w:r>
      <w:r>
        <w:rPr>
          <w:sz w:val="24"/>
        </w:rPr>
        <w:t>bir</w:t>
      </w:r>
      <w:r>
        <w:rPr>
          <w:spacing w:val="80"/>
          <w:sz w:val="24"/>
        </w:rPr>
        <w:t xml:space="preserve"> </w:t>
      </w:r>
      <w:r>
        <w:rPr>
          <w:sz w:val="24"/>
        </w:rPr>
        <w:t>doktora</w:t>
      </w:r>
      <w:r>
        <w:rPr>
          <w:spacing w:val="80"/>
          <w:sz w:val="24"/>
        </w:rPr>
        <w:t xml:space="preserve"> </w:t>
      </w:r>
      <w:r>
        <w:rPr>
          <w:sz w:val="24"/>
        </w:rPr>
        <w:t>öğrencisi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bilim</w:t>
      </w:r>
      <w:r w:rsidR="00607B80">
        <w:rPr>
          <w:sz w:val="24"/>
        </w:rPr>
        <w:t xml:space="preserve"> </w:t>
      </w:r>
      <w:r>
        <w:rPr>
          <w:sz w:val="24"/>
        </w:rPr>
        <w:t>adamı</w:t>
      </w:r>
      <w:r>
        <w:rPr>
          <w:spacing w:val="80"/>
          <w:sz w:val="24"/>
        </w:rPr>
        <w:t xml:space="preserve"> </w:t>
      </w:r>
      <w:r>
        <w:rPr>
          <w:sz w:val="24"/>
        </w:rPr>
        <w:t>olabilmek</w:t>
      </w:r>
      <w:r>
        <w:rPr>
          <w:spacing w:val="80"/>
          <w:sz w:val="24"/>
        </w:rPr>
        <w:t xml:space="preserve"> </w:t>
      </w:r>
      <w:r>
        <w:rPr>
          <w:sz w:val="24"/>
        </w:rPr>
        <w:t>için güçlendirmesi gereken konuları tespit etmek.</w:t>
      </w:r>
    </w:p>
    <w:p w14:paraId="4BD3DB02" w14:textId="77777777" w:rsidR="002D6268" w:rsidRDefault="002D6268">
      <w:pPr>
        <w:pStyle w:val="BodyText"/>
        <w:spacing w:before="4"/>
        <w:ind w:left="0"/>
      </w:pPr>
    </w:p>
    <w:p w14:paraId="4BD3DB03" w14:textId="77777777" w:rsidR="002D6268" w:rsidRDefault="00C12EC6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hanging="359"/>
        <w:rPr>
          <w:b/>
          <w:sz w:val="24"/>
        </w:rPr>
      </w:pPr>
      <w:r>
        <w:rPr>
          <w:b/>
          <w:sz w:val="24"/>
        </w:rPr>
        <w:t>Sınav</w:t>
      </w:r>
      <w:r>
        <w:rPr>
          <w:b/>
          <w:spacing w:val="-2"/>
          <w:sz w:val="24"/>
        </w:rPr>
        <w:t xml:space="preserve"> Zamanı</w:t>
      </w:r>
    </w:p>
    <w:p w14:paraId="4BD3DB04" w14:textId="377C26C6" w:rsidR="002D6268" w:rsidRDefault="00C12EC6">
      <w:pPr>
        <w:pStyle w:val="BodyText"/>
        <w:spacing w:before="271"/>
        <w:ind w:right="111" w:firstLine="359"/>
        <w:jc w:val="both"/>
      </w:pPr>
      <w:r>
        <w:t>Yüksek</w:t>
      </w:r>
      <w:r>
        <w:rPr>
          <w:spacing w:val="-1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derecesi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edilen doktora</w:t>
      </w:r>
      <w:r>
        <w:rPr>
          <w:spacing w:val="-2"/>
        </w:rPr>
        <w:t xml:space="preserve"> </w:t>
      </w:r>
      <w:r>
        <w:t>öğrencileri en geç</w:t>
      </w:r>
      <w:r>
        <w:rPr>
          <w:spacing w:val="-2"/>
        </w:rPr>
        <w:t xml:space="preserve"> </w:t>
      </w:r>
      <w:r>
        <w:t>beşinci yarıyılın,</w:t>
      </w:r>
      <w:r>
        <w:rPr>
          <w:spacing w:val="-1"/>
        </w:rPr>
        <w:t xml:space="preserve"> </w:t>
      </w:r>
      <w:r>
        <w:t>lisans derecesi ile kabul edilen doktora öğrencileri ise en geç yedinci yarıyılın sonuna kadar</w:t>
      </w:r>
      <w:r>
        <w:rPr>
          <w:spacing w:val="40"/>
        </w:rPr>
        <w:t xml:space="preserve"> </w:t>
      </w:r>
      <w:r w:rsidR="0067269F">
        <w:t>DYS’na</w:t>
      </w:r>
      <w:r>
        <w:t xml:space="preserve"> alınır. Bu süreler içerisinde </w:t>
      </w:r>
      <w:r w:rsidR="0067269F">
        <w:t>DYS’na</w:t>
      </w:r>
      <w:r>
        <w:t xml:space="preserve"> girmeyen öğrencilerin programla ilişiği kesilir. DYS, İYTE Akademik Takvimde belirtilen tarih aralığında yapılır.</w:t>
      </w:r>
    </w:p>
    <w:p w14:paraId="4BD3DB05" w14:textId="77777777" w:rsidR="002D6268" w:rsidRDefault="002D6268">
      <w:pPr>
        <w:pStyle w:val="BodyText"/>
        <w:spacing w:before="5"/>
        <w:ind w:left="0"/>
      </w:pPr>
    </w:p>
    <w:p w14:paraId="4BD3DB06" w14:textId="77777777" w:rsidR="002D6268" w:rsidRDefault="00C12EC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b/>
          <w:sz w:val="24"/>
        </w:rPr>
      </w:pPr>
      <w:r>
        <w:rPr>
          <w:b/>
          <w:sz w:val="24"/>
        </w:rPr>
        <w:t>İçerik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işleyiş</w:t>
      </w:r>
    </w:p>
    <w:p w14:paraId="4BD3DB07" w14:textId="0D5F59F6" w:rsidR="002D6268" w:rsidRPr="00691D03" w:rsidRDefault="00424972">
      <w:pPr>
        <w:pStyle w:val="BodyText"/>
        <w:spacing w:before="272"/>
        <w:rPr>
          <w:b/>
        </w:rPr>
      </w:pPr>
      <w:r w:rsidRPr="00691D03">
        <w:rPr>
          <w:b/>
          <w:spacing w:val="-2"/>
          <w:u w:val="single"/>
        </w:rPr>
        <w:t>Başvuru</w:t>
      </w:r>
      <w:r w:rsidR="00C12EC6" w:rsidRPr="00691D03">
        <w:rPr>
          <w:b/>
          <w:spacing w:val="-2"/>
          <w:u w:val="single"/>
        </w:rPr>
        <w:t>:</w:t>
      </w:r>
    </w:p>
    <w:p w14:paraId="4BD3DB08" w14:textId="77777777" w:rsidR="002D6268" w:rsidRDefault="002D6268">
      <w:pPr>
        <w:pStyle w:val="BodyText"/>
        <w:spacing w:before="4"/>
        <w:ind w:left="0"/>
      </w:pPr>
    </w:p>
    <w:p w14:paraId="4BD3DB09" w14:textId="54C680E0" w:rsidR="002D6268" w:rsidRDefault="00C12EC6">
      <w:pPr>
        <w:ind w:left="120" w:right="106" w:firstLine="427"/>
        <w:jc w:val="both"/>
        <w:rPr>
          <w:sz w:val="24"/>
        </w:rPr>
      </w:pPr>
      <w:r>
        <w:rPr>
          <w:b/>
          <w:sz w:val="24"/>
        </w:rPr>
        <w:t xml:space="preserve">Adaylar </w:t>
      </w:r>
      <w:r w:rsidR="00607B80">
        <w:rPr>
          <w:b/>
          <w:sz w:val="24"/>
        </w:rPr>
        <w:t>Enerji Mühendisliği</w:t>
      </w:r>
      <w:r>
        <w:rPr>
          <w:b/>
          <w:sz w:val="24"/>
        </w:rPr>
        <w:t xml:space="preserve"> </w:t>
      </w:r>
      <w:r w:rsidR="00611988">
        <w:rPr>
          <w:b/>
          <w:sz w:val="24"/>
        </w:rPr>
        <w:t>Programı</w:t>
      </w:r>
      <w:r>
        <w:rPr>
          <w:b/>
          <w:sz w:val="24"/>
        </w:rPr>
        <w:t xml:space="preserve"> Sekreterliği’nden temin ettikleri DYS-1 formunu doldurup,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danışmanlarına imzalatıp, en geç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sınava girecekleri dönemin ilk haftasında teslim ederler. </w:t>
      </w:r>
      <w:r>
        <w:rPr>
          <w:sz w:val="24"/>
        </w:rPr>
        <w:t>DYS</w:t>
      </w:r>
      <w:r w:rsidR="00424972">
        <w:rPr>
          <w:sz w:val="24"/>
        </w:rPr>
        <w:t>’na</w:t>
      </w:r>
      <w:r>
        <w:rPr>
          <w:sz w:val="24"/>
        </w:rPr>
        <w:t xml:space="preserve"> girmek için başvuran öğrencilerin adları </w:t>
      </w:r>
      <w:r w:rsidR="00607B80">
        <w:rPr>
          <w:sz w:val="24"/>
        </w:rPr>
        <w:t>Enerji Mühendisliği</w:t>
      </w:r>
      <w:r>
        <w:rPr>
          <w:sz w:val="24"/>
        </w:rPr>
        <w:t xml:space="preserve"> Anabilim Dalı Başkanlığı</w:t>
      </w:r>
      <w:r w:rsidR="00607B80">
        <w:rPr>
          <w:sz w:val="24"/>
        </w:rPr>
        <w:t>’</w:t>
      </w:r>
      <w:r>
        <w:rPr>
          <w:sz w:val="24"/>
        </w:rPr>
        <w:t xml:space="preserve">nca </w:t>
      </w:r>
      <w:r w:rsidR="00424972">
        <w:rPr>
          <w:sz w:val="24"/>
        </w:rPr>
        <w:t>Lisansüstü Eğitim</w:t>
      </w:r>
      <w:r>
        <w:rPr>
          <w:sz w:val="24"/>
        </w:rPr>
        <w:t xml:space="preserve"> Enstitüsü</w:t>
      </w:r>
      <w:r w:rsidR="00424972">
        <w:rPr>
          <w:sz w:val="24"/>
        </w:rPr>
        <w:t>’</w:t>
      </w:r>
      <w:r>
        <w:rPr>
          <w:sz w:val="24"/>
        </w:rPr>
        <w:t>ne (</w:t>
      </w:r>
      <w:r w:rsidR="00424972">
        <w:rPr>
          <w:sz w:val="24"/>
        </w:rPr>
        <w:t>LEE</w:t>
      </w:r>
      <w:r>
        <w:rPr>
          <w:sz w:val="24"/>
        </w:rPr>
        <w:t>) bildirilir.</w:t>
      </w:r>
    </w:p>
    <w:p w14:paraId="4BD3DB0A" w14:textId="77777777" w:rsidR="00C12EC6" w:rsidRDefault="00C12EC6">
      <w:pPr>
        <w:pStyle w:val="BodyText"/>
        <w:spacing w:before="70"/>
      </w:pPr>
    </w:p>
    <w:p w14:paraId="4BD3DB0E" w14:textId="60EBC95E" w:rsidR="00C12EC6" w:rsidRPr="00691D03" w:rsidRDefault="00C12EC6" w:rsidP="00C12EC6">
      <w:pPr>
        <w:pStyle w:val="BodyText"/>
        <w:spacing w:before="70" w:line="276" w:lineRule="auto"/>
        <w:rPr>
          <w:b/>
          <w:spacing w:val="-2"/>
          <w:u w:val="single"/>
        </w:rPr>
      </w:pPr>
      <w:r w:rsidRPr="00691D03">
        <w:rPr>
          <w:b/>
          <w:u w:val="single"/>
        </w:rPr>
        <w:t xml:space="preserve">Sınav </w:t>
      </w:r>
      <w:r w:rsidRPr="00691D03">
        <w:rPr>
          <w:b/>
          <w:spacing w:val="-2"/>
          <w:u w:val="single"/>
        </w:rPr>
        <w:t>Formatı:</w:t>
      </w:r>
    </w:p>
    <w:p w14:paraId="5098FCEE" w14:textId="77777777" w:rsidR="00691D03" w:rsidRPr="00C12EC6" w:rsidRDefault="00691D03" w:rsidP="00C12EC6">
      <w:pPr>
        <w:pStyle w:val="BodyText"/>
        <w:spacing w:before="70" w:line="276" w:lineRule="auto"/>
        <w:rPr>
          <w:spacing w:val="-2"/>
          <w:u w:val="single"/>
        </w:rPr>
      </w:pPr>
    </w:p>
    <w:p w14:paraId="4BD3DB0F" w14:textId="77777777" w:rsidR="002D6268" w:rsidRDefault="00C12EC6" w:rsidP="00C12EC6">
      <w:pPr>
        <w:pStyle w:val="BodyText"/>
        <w:spacing w:line="276" w:lineRule="auto"/>
      </w:pPr>
      <w:r>
        <w:t>DYS</w:t>
      </w:r>
      <w:r>
        <w:rPr>
          <w:spacing w:val="-1"/>
        </w:rPr>
        <w:t xml:space="preserve"> </w:t>
      </w:r>
      <w:r>
        <w:t>sınavı iki ana</w:t>
      </w:r>
      <w:r>
        <w:rPr>
          <w:spacing w:val="-2"/>
        </w:rPr>
        <w:t xml:space="preserve"> </w:t>
      </w:r>
      <w:r>
        <w:t xml:space="preserve">kısımdan </w:t>
      </w:r>
      <w:r>
        <w:rPr>
          <w:spacing w:val="-2"/>
        </w:rPr>
        <w:t>oluşur:</w:t>
      </w:r>
    </w:p>
    <w:p w14:paraId="4BD3DB10" w14:textId="77777777" w:rsidR="002D6268" w:rsidRPr="00607B80" w:rsidRDefault="00C12EC6">
      <w:pPr>
        <w:pStyle w:val="ListParagraph"/>
        <w:numPr>
          <w:ilvl w:val="1"/>
          <w:numId w:val="1"/>
        </w:numPr>
        <w:tabs>
          <w:tab w:val="left" w:pos="1560"/>
          <w:tab w:val="left" w:pos="3720"/>
        </w:tabs>
        <w:rPr>
          <w:sz w:val="24"/>
          <w:u w:val="single"/>
        </w:rPr>
      </w:pPr>
      <w:r w:rsidRPr="00607B80">
        <w:rPr>
          <w:sz w:val="24"/>
          <w:u w:val="single"/>
        </w:rPr>
        <w:t>Yazılı</w:t>
      </w:r>
      <w:r w:rsidRPr="00607B80">
        <w:rPr>
          <w:spacing w:val="-1"/>
          <w:sz w:val="24"/>
          <w:u w:val="single"/>
        </w:rPr>
        <w:t xml:space="preserve"> </w:t>
      </w:r>
      <w:r w:rsidR="00607B80">
        <w:rPr>
          <w:spacing w:val="-2"/>
          <w:sz w:val="24"/>
          <w:u w:val="single"/>
        </w:rPr>
        <w:t>Sınavlar</w:t>
      </w:r>
    </w:p>
    <w:p w14:paraId="4BD3DB11" w14:textId="77777777" w:rsidR="002D6268" w:rsidRDefault="00C12EC6">
      <w:pPr>
        <w:pStyle w:val="ListParagraph"/>
        <w:numPr>
          <w:ilvl w:val="1"/>
          <w:numId w:val="1"/>
        </w:numPr>
        <w:tabs>
          <w:tab w:val="left" w:pos="1560"/>
          <w:tab w:val="left" w:pos="3720"/>
        </w:tabs>
        <w:rPr>
          <w:sz w:val="24"/>
        </w:rPr>
      </w:pPr>
      <w:r>
        <w:rPr>
          <w:sz w:val="24"/>
          <w:u w:val="single"/>
        </w:rPr>
        <w:lastRenderedPageBreak/>
        <w:t>Sözlü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Sınav</w:t>
      </w:r>
    </w:p>
    <w:p w14:paraId="4BD3DB12" w14:textId="77777777" w:rsidR="002D6268" w:rsidRDefault="002D6268">
      <w:pPr>
        <w:pStyle w:val="BodyText"/>
        <w:ind w:left="0"/>
      </w:pPr>
    </w:p>
    <w:p w14:paraId="4BD3DB13" w14:textId="45DEA9DF" w:rsidR="002D6268" w:rsidRDefault="00C12EC6">
      <w:pPr>
        <w:pStyle w:val="BodyText"/>
        <w:ind w:right="112" w:firstLine="719"/>
        <w:jc w:val="both"/>
      </w:pPr>
      <w:r w:rsidRPr="005E7E07">
        <w:t xml:space="preserve">Bu sınavlar, Matematik zorunlu olmak üzere, </w:t>
      </w:r>
      <w:r w:rsidR="00DD6250">
        <w:t xml:space="preserve">ilave olarak </w:t>
      </w:r>
      <w:r w:rsidRPr="005E7E07">
        <w:t>adayın</w:t>
      </w:r>
      <w:r>
        <w:t xml:space="preserve"> Tablo 1’den seçtiği toplam </w:t>
      </w:r>
      <w:r w:rsidR="005E7E07">
        <w:t>3</w:t>
      </w:r>
      <w:r w:rsidR="00607B80">
        <w:t xml:space="preserve"> </w:t>
      </w:r>
      <w:r>
        <w:t>(</w:t>
      </w:r>
      <w:r w:rsidR="005E7E07">
        <w:t>üç</w:t>
      </w:r>
      <w:r>
        <w:t xml:space="preserve">) </w:t>
      </w:r>
      <w:r w:rsidR="00607B80">
        <w:t xml:space="preserve">temel </w:t>
      </w:r>
      <w:r>
        <w:t>alandan oluşur.</w:t>
      </w:r>
    </w:p>
    <w:p w14:paraId="4BD3DB14" w14:textId="650A9F59" w:rsidR="002D6268" w:rsidRDefault="00C12EC6">
      <w:pPr>
        <w:pStyle w:val="BodyText"/>
        <w:ind w:right="108" w:firstLine="719"/>
        <w:jc w:val="both"/>
      </w:pPr>
      <w:r>
        <w:t xml:space="preserve">Son yazılı sınavın ardından tüm </w:t>
      </w:r>
      <w:r w:rsidR="005E157B">
        <w:t>s</w:t>
      </w:r>
      <w:r>
        <w:t xml:space="preserve">ınav </w:t>
      </w:r>
      <w:r w:rsidR="005E157B">
        <w:t>j</w:t>
      </w:r>
      <w:r>
        <w:t>üri</w:t>
      </w:r>
      <w:r w:rsidR="005E157B">
        <w:t xml:space="preserve"> üye</w:t>
      </w:r>
      <w:r>
        <w:t>lerinin katılımıyla tek oturumluk bir sözlü sınav yapılır</w:t>
      </w:r>
      <w:r w:rsidRPr="005E157B">
        <w:t>. Yazılı sınavda öğrenciye soruları cevaplaması için her bir temel alan için 120 dakika süre tanınır, sınav</w:t>
      </w:r>
      <w:r w:rsidR="005E157B" w:rsidRPr="005E157B">
        <w:t>lar kapalı kitap olarak yapılır</w:t>
      </w:r>
      <w:r w:rsidRPr="005E157B">
        <w:t>.</w:t>
      </w:r>
    </w:p>
    <w:p w14:paraId="4BD3DB15" w14:textId="77777777" w:rsidR="002D6268" w:rsidRDefault="002D6268">
      <w:pPr>
        <w:pStyle w:val="BodyText"/>
        <w:ind w:left="0"/>
      </w:pPr>
    </w:p>
    <w:p w14:paraId="4BD3DB16" w14:textId="77777777" w:rsidR="002D6268" w:rsidRDefault="002D6268">
      <w:pPr>
        <w:pStyle w:val="BodyText"/>
        <w:ind w:left="0"/>
      </w:pPr>
    </w:p>
    <w:p w14:paraId="4BD3DB17" w14:textId="77777777" w:rsidR="00C12EC6" w:rsidRDefault="00C12EC6" w:rsidP="00C12EC6">
      <w:pPr>
        <w:pStyle w:val="BodyText"/>
        <w:spacing w:before="1" w:after="8" w:line="360" w:lineRule="auto"/>
        <w:jc w:val="both"/>
      </w:pPr>
      <w:r w:rsidRPr="00607B80">
        <w:rPr>
          <w:b/>
        </w:rPr>
        <w:t>Tablo</w:t>
      </w:r>
      <w:r w:rsidRPr="00607B80">
        <w:rPr>
          <w:b/>
          <w:spacing w:val="-3"/>
        </w:rPr>
        <w:t xml:space="preserve"> </w:t>
      </w:r>
      <w:r w:rsidRPr="00607B80">
        <w:rPr>
          <w:b/>
        </w:rPr>
        <w:t>1.</w:t>
      </w:r>
      <w:r>
        <w:rPr>
          <w:spacing w:val="-1"/>
        </w:rPr>
        <w:t xml:space="preserve"> </w:t>
      </w:r>
      <w:r w:rsidR="00607B80">
        <w:t>Temel Alan Dersleri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615"/>
        <w:gridCol w:w="3795"/>
      </w:tblGrid>
      <w:tr w:rsidR="00F6182C" w:rsidRPr="00BE44C0" w14:paraId="67809BEE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F3E4DA" w14:textId="63F8EB6F" w:rsidR="00F6182C" w:rsidRPr="00BE44C0" w:rsidRDefault="00F6182C" w:rsidP="00F6182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vAlign w:val="bottom"/>
          </w:tcPr>
          <w:p w14:paraId="1C40CA80" w14:textId="045A8601" w:rsidR="00F6182C" w:rsidRPr="00BE44C0" w:rsidRDefault="00F6182C" w:rsidP="00F6182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Alan </w:t>
            </w:r>
            <w:proofErr w:type="spellStart"/>
            <w:r w:rsidRPr="00BE44C0">
              <w:rPr>
                <w:b/>
                <w:bCs/>
                <w:color w:val="000000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79F5B5B" w14:textId="1ADBB297" w:rsidR="00F6182C" w:rsidRPr="00BE44C0" w:rsidRDefault="00F6182C" w:rsidP="00F6182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Alan </w:t>
            </w:r>
            <w:proofErr w:type="spellStart"/>
            <w:r w:rsidRPr="00BE44C0">
              <w:rPr>
                <w:b/>
                <w:bCs/>
                <w:color w:val="000000"/>
                <w:sz w:val="24"/>
                <w:szCs w:val="24"/>
                <w:lang w:val="en-US"/>
              </w:rPr>
              <w:t>Referans</w:t>
            </w:r>
            <w:proofErr w:type="spellEnd"/>
            <w:r w:rsidRPr="00BE44C0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44C0">
              <w:rPr>
                <w:b/>
                <w:bCs/>
                <w:color w:val="000000"/>
                <w:sz w:val="24"/>
                <w:szCs w:val="24"/>
                <w:lang w:val="en-US"/>
              </w:rPr>
              <w:t>Dersleri</w:t>
            </w:r>
            <w:proofErr w:type="spellEnd"/>
          </w:p>
        </w:tc>
      </w:tr>
      <w:tr w:rsidR="00F6182C" w:rsidRPr="00BE44C0" w14:paraId="086EB8AE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F5DDC3" w14:textId="7B632768" w:rsidR="00F6182C" w:rsidRPr="00BE44C0" w:rsidRDefault="006B5D43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Zorunlu</w:t>
            </w:r>
            <w:proofErr w:type="spellEnd"/>
          </w:p>
        </w:tc>
        <w:tc>
          <w:tcPr>
            <w:tcW w:w="2615" w:type="dxa"/>
            <w:vAlign w:val="bottom"/>
          </w:tcPr>
          <w:p w14:paraId="19495A2F" w14:textId="25EBC46F" w:rsidR="00F6182C" w:rsidRPr="00BE44C0" w:rsidRDefault="00F6182C" w:rsidP="00A34C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Matematik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E157679" w14:textId="77777777" w:rsidR="00F6182C" w:rsidRPr="00BE44C0" w:rsidRDefault="00F6182C" w:rsidP="00A34C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ESE212, MAT255</w:t>
            </w:r>
          </w:p>
        </w:tc>
      </w:tr>
      <w:tr w:rsidR="00F6182C" w:rsidRPr="00BE44C0" w14:paraId="2158B27D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EAEC8D" w14:textId="57B1D29D" w:rsidR="00F6182C" w:rsidRPr="00BE44C0" w:rsidRDefault="00F6182C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182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vAlign w:val="bottom"/>
          </w:tcPr>
          <w:p w14:paraId="5EFD4364" w14:textId="1FD38212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Akışkanlar</w:t>
            </w:r>
            <w:proofErr w:type="spellEnd"/>
            <w:r w:rsidRPr="00BE44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Mekaniği</w:t>
            </w:r>
            <w:proofErr w:type="spellEnd"/>
            <w:r w:rsidRPr="00BE44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E81B711" w14:textId="4E4F7F34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ESE311, ESE312</w:t>
            </w:r>
          </w:p>
        </w:tc>
      </w:tr>
      <w:tr w:rsidR="00F6182C" w:rsidRPr="00BE44C0" w14:paraId="12E232C3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C4186F" w14:textId="6755944E" w:rsidR="00F6182C" w:rsidRPr="00BE44C0" w:rsidRDefault="00F6182C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182C"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vAlign w:val="bottom"/>
          </w:tcPr>
          <w:p w14:paraId="16424F5C" w14:textId="1031BEBD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 xml:space="preserve">Isı </w:t>
            </w: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Transferi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7EA4EEA" w14:textId="362D67BF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ESE301</w:t>
            </w:r>
          </w:p>
        </w:tc>
      </w:tr>
      <w:tr w:rsidR="00F6182C" w:rsidRPr="00BE44C0" w14:paraId="2A1221B8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C22ED2" w14:textId="56812867" w:rsidR="00F6182C" w:rsidRPr="00BE44C0" w:rsidRDefault="00F6182C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182C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vAlign w:val="bottom"/>
          </w:tcPr>
          <w:p w14:paraId="0FC8E33E" w14:textId="5F6F161A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Termodinamik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568AE8CF" w14:textId="70766AE3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ESE201, ESE202</w:t>
            </w:r>
          </w:p>
        </w:tc>
      </w:tr>
      <w:tr w:rsidR="00F6182C" w:rsidRPr="00BE44C0" w14:paraId="121B9067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A4657D" w14:textId="475FA8EA" w:rsidR="00F6182C" w:rsidRPr="00BE44C0" w:rsidRDefault="00F6182C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182C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vAlign w:val="bottom"/>
          </w:tcPr>
          <w:p w14:paraId="06BB7475" w14:textId="71AE9A6D" w:rsidR="00F6182C" w:rsidRPr="007B0C5B" w:rsidRDefault="00DD6250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D6250">
              <w:rPr>
                <w:color w:val="000000"/>
                <w:sz w:val="24"/>
                <w:szCs w:val="24"/>
                <w:lang w:val="en-US"/>
              </w:rPr>
              <w:t>Kimyasal</w:t>
            </w:r>
            <w:proofErr w:type="spellEnd"/>
            <w:r w:rsidRPr="00DD62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250">
              <w:rPr>
                <w:color w:val="000000"/>
                <w:sz w:val="24"/>
                <w:szCs w:val="24"/>
                <w:lang w:val="en-US"/>
              </w:rPr>
              <w:t>Proseslerde</w:t>
            </w:r>
            <w:proofErr w:type="spellEnd"/>
            <w:r w:rsidRPr="00DD62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82C" w:rsidRPr="00DD6250">
              <w:rPr>
                <w:color w:val="000000"/>
                <w:sz w:val="24"/>
                <w:szCs w:val="24"/>
                <w:lang w:val="en-US"/>
              </w:rPr>
              <w:t>Kütle</w:t>
            </w:r>
            <w:proofErr w:type="spellEnd"/>
            <w:r w:rsidR="00F6182C" w:rsidRPr="00DD62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82C" w:rsidRPr="00DD6250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="00F6182C" w:rsidRPr="00DD62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82C" w:rsidRPr="00DD6250">
              <w:rPr>
                <w:color w:val="000000"/>
                <w:sz w:val="24"/>
                <w:szCs w:val="24"/>
                <w:lang w:val="en-US"/>
              </w:rPr>
              <w:t>Enerji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1D6377E" w14:textId="4B1BEF3E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ESE321, ESE322</w:t>
            </w:r>
          </w:p>
        </w:tc>
      </w:tr>
      <w:tr w:rsidR="00F6182C" w:rsidRPr="00BE44C0" w14:paraId="2834258E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7F78AA" w14:textId="17383A3E" w:rsidR="00F6182C" w:rsidRPr="00BE44C0" w:rsidRDefault="00F6182C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182C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vAlign w:val="bottom"/>
          </w:tcPr>
          <w:p w14:paraId="66723042" w14:textId="47ACEED0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Elektrik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344F9E9" w14:textId="6E17B7A9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ESE230, ESE331</w:t>
            </w:r>
          </w:p>
        </w:tc>
      </w:tr>
      <w:tr w:rsidR="00F6182C" w:rsidRPr="00BE44C0" w14:paraId="3003E52A" w14:textId="77777777" w:rsidTr="006B5D43">
        <w:trPr>
          <w:trHeight w:val="300"/>
          <w:jc w:val="center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917E1E" w14:textId="3BCF297D" w:rsidR="00F6182C" w:rsidRPr="00BE44C0" w:rsidRDefault="00F6182C" w:rsidP="00F618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182C"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vAlign w:val="bottom"/>
          </w:tcPr>
          <w:p w14:paraId="2136B33A" w14:textId="50527B40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E44C0">
              <w:rPr>
                <w:color w:val="000000"/>
                <w:sz w:val="24"/>
                <w:szCs w:val="24"/>
                <w:lang w:val="en-US"/>
              </w:rPr>
              <w:t>Kontrol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FA03451" w14:textId="31F78E1E" w:rsidR="00F6182C" w:rsidRPr="00BE44C0" w:rsidRDefault="00F6182C" w:rsidP="00F618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BE44C0">
              <w:rPr>
                <w:color w:val="000000"/>
                <w:sz w:val="24"/>
                <w:szCs w:val="24"/>
                <w:lang w:val="en-US"/>
              </w:rPr>
              <w:t>ME352</w:t>
            </w:r>
          </w:p>
        </w:tc>
      </w:tr>
    </w:tbl>
    <w:p w14:paraId="4BD3DB2C" w14:textId="77777777" w:rsidR="00607B80" w:rsidRDefault="00607B80" w:rsidP="00607B80">
      <w:pPr>
        <w:pStyle w:val="BodyText"/>
      </w:pPr>
    </w:p>
    <w:p w14:paraId="4BD3DB2D" w14:textId="6DEE01E6" w:rsidR="002D6268" w:rsidRDefault="00C12EC6" w:rsidP="00607B80">
      <w:pPr>
        <w:pStyle w:val="BodyText"/>
      </w:pPr>
      <w:r>
        <w:t>*</w:t>
      </w:r>
      <w:r>
        <w:rPr>
          <w:spacing w:val="-6"/>
        </w:rPr>
        <w:t xml:space="preserve"> </w:t>
      </w:r>
      <w:r>
        <w:t>Ders</w:t>
      </w:r>
      <w:r>
        <w:rPr>
          <w:spacing w:val="-7"/>
        </w:rPr>
        <w:t xml:space="preserve"> </w:t>
      </w:r>
      <w:r w:rsidR="006B5D43">
        <w:t>içerikleri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detaylar</w:t>
      </w:r>
      <w:r w:rsidR="00607B80">
        <w:t xml:space="preserve"> için</w:t>
      </w:r>
      <w:r>
        <w:t>;</w:t>
      </w:r>
      <w:r>
        <w:rPr>
          <w:spacing w:val="-7"/>
        </w:rPr>
        <w:t xml:space="preserve"> </w:t>
      </w:r>
      <w:r w:rsidR="00607B80" w:rsidRPr="00607B80">
        <w:rPr>
          <w:color w:val="0462C1"/>
          <w:u w:val="single" w:color="0462C1"/>
        </w:rPr>
        <w:t>https://ese.iyte.edu.tr/ders-icerikleri/</w:t>
      </w:r>
    </w:p>
    <w:p w14:paraId="4BD3DB2E" w14:textId="77777777" w:rsidR="002D6268" w:rsidRDefault="00C12EC6">
      <w:pPr>
        <w:pStyle w:val="BodyText"/>
        <w:spacing w:before="275"/>
        <w:ind w:right="112"/>
        <w:jc w:val="both"/>
      </w:pPr>
      <w:r>
        <w:t>Yazılı sınavda başarılı olan öğrenci sözlü sınava alınır. Yazılı sınavda başarısız olan öğrenciler yeterlik sınavından da başarısız kabul edilir.</w:t>
      </w:r>
    </w:p>
    <w:p w14:paraId="4BD3DB2F" w14:textId="77777777" w:rsidR="002D6268" w:rsidRDefault="002D6268">
      <w:pPr>
        <w:pStyle w:val="BodyText"/>
        <w:ind w:left="0"/>
      </w:pPr>
    </w:p>
    <w:p w14:paraId="4BD3DB30" w14:textId="7F65C21C" w:rsidR="002D6268" w:rsidRDefault="00C12EC6">
      <w:pPr>
        <w:pStyle w:val="BodyText"/>
        <w:ind w:right="106"/>
        <w:jc w:val="both"/>
      </w:pPr>
      <w:r>
        <w:rPr>
          <w:b/>
          <w:u w:val="single"/>
        </w:rPr>
        <w:t>Önemli Not:</w:t>
      </w:r>
      <w:r>
        <w:rPr>
          <w:b/>
        </w:rPr>
        <w:t xml:space="preserve"> </w:t>
      </w:r>
      <w:r>
        <w:t>D</w:t>
      </w:r>
      <w:r w:rsidR="00E11010">
        <w:t>YS</w:t>
      </w:r>
      <w:r>
        <w:t xml:space="preserve"> alan öğrencilerin, DYS sınavı ile ilgili olarak Sınav </w:t>
      </w:r>
      <w:r w:rsidR="000163A5">
        <w:t>Jürisi</w:t>
      </w:r>
      <w:r>
        <w:t xml:space="preserve"> ile görüşmesi ya</w:t>
      </w:r>
      <w:r w:rsidR="00607B80">
        <w:t xml:space="preserve"> </w:t>
      </w:r>
      <w:r>
        <w:t xml:space="preserve">da iletişime geçmesi, Sınav </w:t>
      </w:r>
      <w:r w:rsidR="006B5D43">
        <w:t>Jürisini</w:t>
      </w:r>
      <w:r>
        <w:t xml:space="preserve"> ögrenmek için girişimde</w:t>
      </w:r>
      <w:r>
        <w:rPr>
          <w:spacing w:val="40"/>
        </w:rPr>
        <w:t xml:space="preserve"> </w:t>
      </w:r>
      <w:r>
        <w:t>bulunması etik ihlal nedenidir. Bu durumun DYK tarafından tespit edilmesi durumunda, öğrencinin sınavı ile ilgili durum DYK tarafından değerlendirilir.</w:t>
      </w:r>
    </w:p>
    <w:p w14:paraId="4BD3DB31" w14:textId="77777777" w:rsidR="002D6268" w:rsidRDefault="002D6268">
      <w:pPr>
        <w:pStyle w:val="BodyText"/>
        <w:ind w:left="0"/>
      </w:pPr>
    </w:p>
    <w:p w14:paraId="4BD3DB32" w14:textId="77777777" w:rsidR="002D6268" w:rsidRDefault="002D6268">
      <w:pPr>
        <w:pStyle w:val="BodyText"/>
        <w:spacing w:before="6"/>
        <w:ind w:left="0"/>
      </w:pPr>
    </w:p>
    <w:p w14:paraId="4BD3DB33" w14:textId="77777777" w:rsidR="002D6268" w:rsidRDefault="00C12EC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b/>
          <w:sz w:val="24"/>
        </w:rPr>
      </w:pPr>
      <w:r>
        <w:rPr>
          <w:b/>
          <w:spacing w:val="-2"/>
          <w:sz w:val="24"/>
        </w:rPr>
        <w:t>Değerlendirme</w:t>
      </w:r>
    </w:p>
    <w:p w14:paraId="4BD3DB34" w14:textId="01DB34F5" w:rsidR="002D6268" w:rsidRDefault="00C12EC6" w:rsidP="00607B80">
      <w:pPr>
        <w:pStyle w:val="BodyText"/>
        <w:spacing w:before="271"/>
        <w:ind w:right="110"/>
        <w:jc w:val="both"/>
      </w:pPr>
      <w:r>
        <w:t>Her bir yazılı sınavdan en az 50/100 alan, tüm yazılı sınavların ortalaması da 70/100 veya</w:t>
      </w:r>
      <w:r w:rsidR="00FB3A5D">
        <w:t xml:space="preserve"> </w:t>
      </w:r>
      <w:r>
        <w:t>yukarı olan ve sözlü sınav ortalaması da 70/100 veya yukarı olan öğrenciler “Doktora Yeterlik Sınavı</w:t>
      </w:r>
      <w:r w:rsidR="00FB3A5D">
        <w:t>nı</w:t>
      </w:r>
      <w:r>
        <w:t>” başarmış kabul edilir.</w:t>
      </w:r>
    </w:p>
    <w:p w14:paraId="4BD3DB35" w14:textId="77777777" w:rsidR="002D6268" w:rsidRDefault="002D6268" w:rsidP="00607B80">
      <w:pPr>
        <w:pStyle w:val="BodyText"/>
        <w:ind w:left="0"/>
        <w:jc w:val="both"/>
      </w:pPr>
    </w:p>
    <w:p w14:paraId="4BD3DB36" w14:textId="79360462" w:rsidR="002D6268" w:rsidRPr="00C12EC6" w:rsidRDefault="00286CCF" w:rsidP="00C12EC6">
      <w:pPr>
        <w:pStyle w:val="BodyText"/>
        <w:jc w:val="both"/>
      </w:pPr>
      <w:r>
        <w:t>DYS</w:t>
      </w:r>
      <w:r w:rsidR="00C12EC6">
        <w:rPr>
          <w:spacing w:val="-2"/>
        </w:rPr>
        <w:t xml:space="preserve"> </w:t>
      </w:r>
      <w:r w:rsidR="00C12EC6">
        <w:t>jürisi,</w:t>
      </w:r>
      <w:r w:rsidR="00C12EC6">
        <w:rPr>
          <w:spacing w:val="1"/>
        </w:rPr>
        <w:t xml:space="preserve"> </w:t>
      </w:r>
      <w:r w:rsidR="00C12EC6">
        <w:t>yeterlik</w:t>
      </w:r>
      <w:r w:rsidR="00C12EC6">
        <w:rPr>
          <w:spacing w:val="-2"/>
        </w:rPr>
        <w:t xml:space="preserve"> </w:t>
      </w:r>
      <w:r w:rsidR="00C12EC6">
        <w:t>sınavında</w:t>
      </w:r>
      <w:r w:rsidR="00C12EC6">
        <w:rPr>
          <w:spacing w:val="-2"/>
        </w:rPr>
        <w:t xml:space="preserve"> </w:t>
      </w:r>
      <w:r w:rsidR="00C12EC6">
        <w:t>başarılı</w:t>
      </w:r>
      <w:r w:rsidR="00C12EC6">
        <w:rPr>
          <w:spacing w:val="-1"/>
        </w:rPr>
        <w:t xml:space="preserve"> </w:t>
      </w:r>
      <w:r w:rsidR="00C12EC6">
        <w:t>olan</w:t>
      </w:r>
      <w:r w:rsidR="00C12EC6">
        <w:rPr>
          <w:spacing w:val="-2"/>
        </w:rPr>
        <w:t xml:space="preserve"> </w:t>
      </w:r>
      <w:r w:rsidR="00C12EC6">
        <w:t>öğrencilerden, ders</w:t>
      </w:r>
      <w:r w:rsidR="00C12EC6">
        <w:rPr>
          <w:spacing w:val="3"/>
        </w:rPr>
        <w:t xml:space="preserve"> </w:t>
      </w:r>
      <w:r w:rsidR="00C12EC6">
        <w:rPr>
          <w:spacing w:val="-2"/>
        </w:rPr>
        <w:t>yükünü</w:t>
      </w:r>
      <w:r w:rsidR="00C12EC6">
        <w:t xml:space="preserve"> tamamlamış</w:t>
      </w:r>
      <w:r w:rsidR="00C12EC6">
        <w:rPr>
          <w:spacing w:val="-3"/>
        </w:rPr>
        <w:t xml:space="preserve"> </w:t>
      </w:r>
      <w:r w:rsidR="00C12EC6">
        <w:t>olsalar</w:t>
      </w:r>
      <w:r w:rsidR="00C12EC6">
        <w:rPr>
          <w:spacing w:val="-3"/>
        </w:rPr>
        <w:t xml:space="preserve"> </w:t>
      </w:r>
      <w:r w:rsidR="00C12EC6">
        <w:t>bile</w:t>
      </w:r>
      <w:r w:rsidR="00C12EC6">
        <w:rPr>
          <w:spacing w:val="-4"/>
        </w:rPr>
        <w:t xml:space="preserve"> </w:t>
      </w:r>
      <w:r w:rsidR="00C12EC6">
        <w:t>aldıkları</w:t>
      </w:r>
      <w:r w:rsidR="00C12EC6">
        <w:rPr>
          <w:spacing w:val="-3"/>
        </w:rPr>
        <w:t xml:space="preserve"> </w:t>
      </w:r>
      <w:r w:rsidR="00C12EC6">
        <w:t>derslere</w:t>
      </w:r>
      <w:r w:rsidR="00C12EC6">
        <w:rPr>
          <w:spacing w:val="-4"/>
        </w:rPr>
        <w:t xml:space="preserve"> </w:t>
      </w:r>
      <w:r w:rsidR="00C12EC6">
        <w:t>ek</w:t>
      </w:r>
      <w:r w:rsidR="00C12EC6">
        <w:rPr>
          <w:spacing w:val="-3"/>
        </w:rPr>
        <w:t xml:space="preserve"> </w:t>
      </w:r>
      <w:r w:rsidR="00C12EC6">
        <w:t>olarak</w:t>
      </w:r>
      <w:r w:rsidR="00C12EC6">
        <w:rPr>
          <w:spacing w:val="-3"/>
        </w:rPr>
        <w:t xml:space="preserve"> </w:t>
      </w:r>
      <w:r w:rsidR="00C12EC6">
        <w:t>en</w:t>
      </w:r>
      <w:r w:rsidR="00C12EC6">
        <w:rPr>
          <w:spacing w:val="-3"/>
        </w:rPr>
        <w:t xml:space="preserve"> </w:t>
      </w:r>
      <w:r w:rsidR="00C12EC6">
        <w:t>çok</w:t>
      </w:r>
      <w:r w:rsidR="00C12EC6">
        <w:rPr>
          <w:spacing w:val="-3"/>
        </w:rPr>
        <w:t xml:space="preserve"> </w:t>
      </w:r>
      <w:r w:rsidR="00C12EC6">
        <w:t>iki</w:t>
      </w:r>
      <w:r w:rsidR="00C12EC6">
        <w:rPr>
          <w:spacing w:val="-3"/>
        </w:rPr>
        <w:t xml:space="preserve"> </w:t>
      </w:r>
      <w:r w:rsidR="00C12EC6">
        <w:t>ders</w:t>
      </w:r>
      <w:r w:rsidR="00C12EC6">
        <w:rPr>
          <w:spacing w:val="-4"/>
        </w:rPr>
        <w:t xml:space="preserve"> </w:t>
      </w:r>
      <w:r w:rsidR="00C12EC6">
        <w:t>almalarını</w:t>
      </w:r>
      <w:r w:rsidR="00C12EC6">
        <w:rPr>
          <w:spacing w:val="-3"/>
        </w:rPr>
        <w:t xml:space="preserve"> </w:t>
      </w:r>
      <w:r w:rsidR="00C12EC6">
        <w:t>isteyebilir.</w:t>
      </w:r>
      <w:r w:rsidR="00C12EC6">
        <w:rPr>
          <w:spacing w:val="-3"/>
        </w:rPr>
        <w:t xml:space="preserve"> </w:t>
      </w:r>
      <w:r w:rsidR="00C12EC6">
        <w:t>Bu dersler, ilgili EABDB’nin önerisi ve Enstitü Yönetim Kurulu onayıyla NI statüsünde alınabilir.</w:t>
      </w:r>
      <w:r w:rsidR="00C12EC6">
        <w:rPr>
          <w:spacing w:val="-4"/>
        </w:rPr>
        <w:t xml:space="preserve"> </w:t>
      </w:r>
      <w:r w:rsidR="00C12EC6">
        <w:t>Öğrencilerin</w:t>
      </w:r>
      <w:r w:rsidR="00C12EC6">
        <w:rPr>
          <w:spacing w:val="-4"/>
        </w:rPr>
        <w:t xml:space="preserve"> </w:t>
      </w:r>
      <w:r w:rsidR="00C12EC6">
        <w:t>tez</w:t>
      </w:r>
      <w:r w:rsidR="00C12EC6">
        <w:rPr>
          <w:spacing w:val="-3"/>
        </w:rPr>
        <w:t xml:space="preserve"> </w:t>
      </w:r>
      <w:r w:rsidR="00C12EC6">
        <w:t>savunma</w:t>
      </w:r>
      <w:r w:rsidR="00C12EC6">
        <w:rPr>
          <w:spacing w:val="-4"/>
        </w:rPr>
        <w:t xml:space="preserve"> </w:t>
      </w:r>
      <w:r w:rsidR="00C12EC6">
        <w:t>sınavına</w:t>
      </w:r>
      <w:r w:rsidR="00C12EC6">
        <w:rPr>
          <w:spacing w:val="-4"/>
        </w:rPr>
        <w:t xml:space="preserve"> </w:t>
      </w:r>
      <w:r w:rsidR="00C12EC6">
        <w:t>girebilmeleri</w:t>
      </w:r>
      <w:r w:rsidR="00C12EC6">
        <w:rPr>
          <w:spacing w:val="-4"/>
        </w:rPr>
        <w:t xml:space="preserve"> </w:t>
      </w:r>
      <w:r w:rsidR="00C12EC6">
        <w:t>için</w:t>
      </w:r>
      <w:r w:rsidR="00C12EC6">
        <w:rPr>
          <w:spacing w:val="-4"/>
        </w:rPr>
        <w:t xml:space="preserve"> </w:t>
      </w:r>
      <w:r w:rsidR="00C12EC6">
        <w:t>bu</w:t>
      </w:r>
      <w:r w:rsidR="00C12EC6">
        <w:rPr>
          <w:spacing w:val="-3"/>
        </w:rPr>
        <w:t xml:space="preserve"> </w:t>
      </w:r>
      <w:r w:rsidR="00C12EC6">
        <w:t>derslerden</w:t>
      </w:r>
      <w:r w:rsidR="00C12EC6">
        <w:rPr>
          <w:spacing w:val="-4"/>
        </w:rPr>
        <w:t xml:space="preserve"> </w:t>
      </w:r>
      <w:r w:rsidR="00C12EC6">
        <w:t>başarılı olmaları gerekir</w:t>
      </w:r>
      <w:r w:rsidR="00C12EC6">
        <w:rPr>
          <w:sz w:val="18"/>
        </w:rPr>
        <w:t>.</w:t>
      </w:r>
    </w:p>
    <w:p w14:paraId="4BD3DB37" w14:textId="77777777" w:rsidR="002D6268" w:rsidRDefault="002D6268">
      <w:pPr>
        <w:pStyle w:val="BodyText"/>
        <w:spacing w:before="1"/>
        <w:ind w:left="0"/>
      </w:pPr>
    </w:p>
    <w:p w14:paraId="4BD3DB38" w14:textId="0CBCEDBC" w:rsidR="002D6268" w:rsidRDefault="00C12EC6">
      <w:pPr>
        <w:pStyle w:val="BodyText"/>
        <w:ind w:right="111"/>
        <w:jc w:val="both"/>
      </w:pPr>
      <w:r>
        <w:t>D</w:t>
      </w:r>
      <w:r w:rsidR="00286CCF">
        <w:t>YS’</w:t>
      </w:r>
      <w:r>
        <w:t xml:space="preserve">nda ilk hakkını kullanan ve başarısız olan öğrenciler, takip eden yarıyıl içinde yapılacak olan ikinci </w:t>
      </w:r>
      <w:r w:rsidR="00286CCF">
        <w:t>DYS</w:t>
      </w:r>
      <w:r>
        <w:t xml:space="preserve"> haklarını kullanırlar. Bu öğrenciler ilk haklarında yazılı sınavdan başarılı olmuşlarsa ikinci haklarında yazılı sınava tekrar </w:t>
      </w:r>
      <w:r>
        <w:rPr>
          <w:spacing w:val="-2"/>
        </w:rPr>
        <w:t>alınmazlar.</w:t>
      </w:r>
    </w:p>
    <w:p w14:paraId="4BD3DB39" w14:textId="77777777" w:rsidR="002D6268" w:rsidRDefault="002D6268">
      <w:pPr>
        <w:pStyle w:val="BodyText"/>
        <w:ind w:left="0"/>
      </w:pPr>
    </w:p>
    <w:p w14:paraId="4BD3DB3A" w14:textId="77777777" w:rsidR="002D6268" w:rsidRDefault="002D6268">
      <w:pPr>
        <w:pStyle w:val="BodyText"/>
        <w:ind w:left="0"/>
      </w:pPr>
    </w:p>
    <w:p w14:paraId="4BD3DB3B" w14:textId="77777777" w:rsidR="002D6268" w:rsidRPr="00C12EC6" w:rsidRDefault="00C12EC6">
      <w:pPr>
        <w:pStyle w:val="BodyText"/>
        <w:jc w:val="both"/>
        <w:rPr>
          <w:b/>
        </w:rPr>
      </w:pPr>
      <w:r w:rsidRPr="00C12EC6">
        <w:rPr>
          <w:b/>
        </w:rPr>
        <w:t>Güncelle</w:t>
      </w:r>
      <w:r>
        <w:rPr>
          <w:b/>
        </w:rPr>
        <w:t>n</w:t>
      </w:r>
      <w:r w:rsidRPr="00C12EC6">
        <w:rPr>
          <w:b/>
        </w:rPr>
        <w:t>me</w:t>
      </w:r>
      <w:r w:rsidRPr="00C12EC6">
        <w:rPr>
          <w:b/>
          <w:spacing w:val="-2"/>
        </w:rPr>
        <w:t xml:space="preserve"> </w:t>
      </w:r>
      <w:r w:rsidRPr="00C12EC6">
        <w:rPr>
          <w:b/>
        </w:rPr>
        <w:t>Tarihi:</w:t>
      </w:r>
      <w:r w:rsidRPr="00C12EC6">
        <w:rPr>
          <w:b/>
          <w:spacing w:val="-1"/>
        </w:rPr>
        <w:t xml:space="preserve"> </w:t>
      </w:r>
      <w:r w:rsidR="00607B80" w:rsidRPr="00C12EC6">
        <w:rPr>
          <w:b/>
          <w:spacing w:val="-2"/>
        </w:rPr>
        <w:t>24.09.2024</w:t>
      </w:r>
      <w:bookmarkStart w:id="0" w:name="_GoBack"/>
      <w:bookmarkEnd w:id="0"/>
    </w:p>
    <w:sectPr w:rsidR="002D6268" w:rsidRPr="00C12EC6">
      <w:pgSz w:w="11910" w:h="16840"/>
      <w:pgMar w:top="1340" w:right="1020" w:bottom="280" w:left="168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5B20CC" w16cex:dateUtc="2024-09-24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1A904F" w16cid:durableId="095B20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0F20"/>
    <w:multiLevelType w:val="hybridMultilevel"/>
    <w:tmpl w:val="D9341DCE"/>
    <w:lvl w:ilvl="0" w:tplc="C8223E9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FEA6">
      <w:start w:val="1"/>
      <w:numFmt w:val="lowerRoman"/>
      <w:lvlText w:val="(%2)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AA505FE0">
      <w:numFmt w:val="bullet"/>
      <w:lvlText w:val="•"/>
      <w:lvlJc w:val="left"/>
      <w:pPr>
        <w:ind w:left="2409" w:hanging="720"/>
      </w:pPr>
      <w:rPr>
        <w:rFonts w:hint="default"/>
        <w:lang w:val="tr-TR" w:eastAsia="en-US" w:bidi="ar-SA"/>
      </w:rPr>
    </w:lvl>
    <w:lvl w:ilvl="3" w:tplc="77880A74">
      <w:numFmt w:val="bullet"/>
      <w:lvlText w:val="•"/>
      <w:lvlJc w:val="left"/>
      <w:pPr>
        <w:ind w:left="3259" w:hanging="720"/>
      </w:pPr>
      <w:rPr>
        <w:rFonts w:hint="default"/>
        <w:lang w:val="tr-TR" w:eastAsia="en-US" w:bidi="ar-SA"/>
      </w:rPr>
    </w:lvl>
    <w:lvl w:ilvl="4" w:tplc="6D34DC44">
      <w:numFmt w:val="bullet"/>
      <w:lvlText w:val="•"/>
      <w:lvlJc w:val="left"/>
      <w:pPr>
        <w:ind w:left="4108" w:hanging="720"/>
      </w:pPr>
      <w:rPr>
        <w:rFonts w:hint="default"/>
        <w:lang w:val="tr-TR" w:eastAsia="en-US" w:bidi="ar-SA"/>
      </w:rPr>
    </w:lvl>
    <w:lvl w:ilvl="5" w:tplc="B8CAD5EC">
      <w:numFmt w:val="bullet"/>
      <w:lvlText w:val="•"/>
      <w:lvlJc w:val="left"/>
      <w:pPr>
        <w:ind w:left="4958" w:hanging="720"/>
      </w:pPr>
      <w:rPr>
        <w:rFonts w:hint="default"/>
        <w:lang w:val="tr-TR" w:eastAsia="en-US" w:bidi="ar-SA"/>
      </w:rPr>
    </w:lvl>
    <w:lvl w:ilvl="6" w:tplc="4DECD12E">
      <w:numFmt w:val="bullet"/>
      <w:lvlText w:val="•"/>
      <w:lvlJc w:val="left"/>
      <w:pPr>
        <w:ind w:left="5808" w:hanging="720"/>
      </w:pPr>
      <w:rPr>
        <w:rFonts w:hint="default"/>
        <w:lang w:val="tr-TR" w:eastAsia="en-US" w:bidi="ar-SA"/>
      </w:rPr>
    </w:lvl>
    <w:lvl w:ilvl="7" w:tplc="886AB74A">
      <w:numFmt w:val="bullet"/>
      <w:lvlText w:val="•"/>
      <w:lvlJc w:val="left"/>
      <w:pPr>
        <w:ind w:left="6657" w:hanging="720"/>
      </w:pPr>
      <w:rPr>
        <w:rFonts w:hint="default"/>
        <w:lang w:val="tr-TR" w:eastAsia="en-US" w:bidi="ar-SA"/>
      </w:rPr>
    </w:lvl>
    <w:lvl w:ilvl="8" w:tplc="334C56FE">
      <w:numFmt w:val="bullet"/>
      <w:lvlText w:val="•"/>
      <w:lvlJc w:val="left"/>
      <w:pPr>
        <w:ind w:left="7507" w:hanging="7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68"/>
    <w:rsid w:val="000163A5"/>
    <w:rsid w:val="00074457"/>
    <w:rsid w:val="00286CCF"/>
    <w:rsid w:val="002D6268"/>
    <w:rsid w:val="002D64E0"/>
    <w:rsid w:val="00397C75"/>
    <w:rsid w:val="00424972"/>
    <w:rsid w:val="005626B1"/>
    <w:rsid w:val="005E157B"/>
    <w:rsid w:val="005E7E07"/>
    <w:rsid w:val="00607B80"/>
    <w:rsid w:val="00611988"/>
    <w:rsid w:val="006135F2"/>
    <w:rsid w:val="0067269F"/>
    <w:rsid w:val="00691D03"/>
    <w:rsid w:val="006B5D43"/>
    <w:rsid w:val="007B0C5B"/>
    <w:rsid w:val="00B95632"/>
    <w:rsid w:val="00BE44C0"/>
    <w:rsid w:val="00C12EC6"/>
    <w:rsid w:val="00C20BCC"/>
    <w:rsid w:val="00DD6250"/>
    <w:rsid w:val="00E11010"/>
    <w:rsid w:val="00E812DA"/>
    <w:rsid w:val="00F6182C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DAF1"/>
  <w15:docId w15:val="{13958297-C897-42D0-B917-579BE33E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72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81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2DA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DA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F2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8F6D810D9ED4F8281E47E67833B55" ma:contentTypeVersion="13" ma:contentTypeDescription="Yeni belge oluşturun." ma:contentTypeScope="" ma:versionID="0c4ebc3869b2206426713821d1efcc5f">
  <xsd:schema xmlns:xsd="http://www.w3.org/2001/XMLSchema" xmlns:xs="http://www.w3.org/2001/XMLSchema" xmlns:p="http://schemas.microsoft.com/office/2006/metadata/properties" xmlns:ns2="2942d391-9d55-4d69-8fc3-d32b455d2f8f" xmlns:ns3="afda92d2-9e9e-438e-a8f1-1e51677f176f" targetNamespace="http://schemas.microsoft.com/office/2006/metadata/properties" ma:root="true" ma:fieldsID="d74c7b95e8095a5b64769ce18b406795" ns2:_="" ns3:_="">
    <xsd:import namespace="2942d391-9d55-4d69-8fc3-d32b455d2f8f"/>
    <xsd:import namespace="afda92d2-9e9e-438e-a8f1-1e51677f1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2d391-9d55-4d69-8fc3-d32b455d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Resim Etiketleri" ma:readOnly="false" ma:fieldId="{5cf76f15-5ced-4ddc-b409-7134ff3c332f}" ma:taxonomyMulti="true" ma:sspId="1add2b4c-a3eb-410e-847d-2572f33f7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92d2-9e9e-438e-a8f1-1e51677f1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49c36c-9361-4414-8261-d70642788296}" ma:internalName="TaxCatchAll" ma:showField="CatchAllData" ma:web="afda92d2-9e9e-438e-a8f1-1e51677f1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42d391-9d55-4d69-8fc3-d32b455d2f8f">
      <Terms xmlns="http://schemas.microsoft.com/office/infopath/2007/PartnerControls"/>
    </lcf76f155ced4ddcb4097134ff3c332f>
    <TaxCatchAll xmlns="afda92d2-9e9e-438e-a8f1-1e51677f176f" xsi:nil="true"/>
    <SharedWithUsers xmlns="afda92d2-9e9e-438e-a8f1-1e51677f176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1AA62F-8EA9-4BC3-A7C7-3754F62F127B}"/>
</file>

<file path=customXml/itemProps2.xml><?xml version="1.0" encoding="utf-8"?>
<ds:datastoreItem xmlns:ds="http://schemas.openxmlformats.org/officeDocument/2006/customXml" ds:itemID="{29BDF3F1-A4C2-4EF6-88A5-847EA1F78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C7AC0-7B3B-4D50-B90C-9B4767712370}">
  <ds:schemaRefs>
    <ds:schemaRef ds:uri="http://schemas.microsoft.com/office/2006/metadata/properties"/>
    <ds:schemaRef ds:uri="http://schemas.microsoft.com/office/infopath/2007/PartnerControls"/>
    <ds:schemaRef ds:uri="bff48087-7de9-4319-8cae-aae3537f6e99"/>
    <ds:schemaRef ds:uri="ed1d9cbe-8636-4130-8330-427a2c6a2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YETERLİLİK SINAVI</vt:lpstr>
      <vt:lpstr>DOKTORA YETERLİLİK SINAVI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YETERLİLİK SINAVI</dc:title>
  <dc:creator>sedat-akkurt</dc:creator>
  <cp:lastModifiedBy>gulden-gokcen</cp:lastModifiedBy>
  <cp:revision>22</cp:revision>
  <dcterms:created xsi:type="dcterms:W3CDTF">2024-09-24T09:29:00Z</dcterms:created>
  <dcterms:modified xsi:type="dcterms:W3CDTF">2024-10-01T10:44:00Z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0x010100D708F6D810D9ED4F8281E47E67833B55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